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8623DF" w:rsidRDefault="008623DF" w:rsidP="008623DF">
      <w:pPr>
        <w:spacing w:after="0" w:line="240" w:lineRule="auto"/>
        <w:jc w:val="right"/>
        <w:rPr>
          <w:rFonts w:ascii="Calibri" w:eastAsia="Calibri" w:hAnsi="Calibri" w:cs="Arial"/>
          <w:b/>
          <w:lang w:val="ro-RO"/>
        </w:rPr>
      </w:pPr>
    </w:p>
    <w:p w14:paraId="47F1369C" w14:textId="77777777" w:rsidR="008623DF" w:rsidRPr="008623DF" w:rsidRDefault="008623DF" w:rsidP="008623DF">
      <w:pPr>
        <w:spacing w:after="0" w:line="240" w:lineRule="auto"/>
        <w:jc w:val="center"/>
        <w:rPr>
          <w:rFonts w:ascii="Calibri" w:eastAsia="Calibri" w:hAnsi="Calibri" w:cs="Arial"/>
          <w:b/>
          <w:lang w:val="ro-RO"/>
        </w:rPr>
      </w:pPr>
    </w:p>
    <w:p w14:paraId="0BC8CD33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DOCUMENTAŢIEI DE AVIZARE A</w:t>
      </w:r>
      <w:r w:rsidRPr="008623DF">
        <w:rPr>
          <w:rFonts w:ascii="Trebuchet MS" w:eastAsia="Calibri" w:hAnsi="Trebuchet MS" w:cs="Arial"/>
          <w:sz w:val="20"/>
          <w:szCs w:val="20"/>
          <w:lang w:val="en-US"/>
        </w:rPr>
        <w:t xml:space="preserve"> 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8623DF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435AEC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8623DF" w14:paraId="186CA295" w14:textId="77777777" w:rsidTr="00624AB2">
        <w:tc>
          <w:tcPr>
            <w:tcW w:w="2694" w:type="dxa"/>
            <w:shd w:val="clear" w:color="auto" w:fill="auto"/>
          </w:tcPr>
          <w:p w14:paraId="3772AF9B" w14:textId="77777777" w:rsidR="008623DF" w:rsidRPr="008623DF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45C7AE0A" w14:textId="77777777" w:rsidR="008623DF" w:rsidRPr="008623DF" w:rsidRDefault="008623DF" w:rsidP="00435AEC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8623DF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77777777" w:rsidR="00435AEC" w:rsidRPr="008623DF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96801FF" w14:textId="77777777" w:rsidR="008623DF" w:rsidRPr="008623D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8623DF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77777777" w:rsidR="00435AEC" w:rsidRDefault="00435AEC" w:rsidP="00435AEC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E54492B" w14:textId="77777777" w:rsidR="00435AEC" w:rsidRPr="008623DF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8623DF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77777777" w:rsidR="00435AEC" w:rsidRPr="008623DF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8623DF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8623DF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8623D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8623DF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8623DF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8623D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8623DF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8623DF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8623D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8623DF" w:rsidRDefault="008623DF" w:rsidP="008623DF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8623DF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623DF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8623DF" w:rsidRDefault="008623DF" w:rsidP="008623DF">
            <w:p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Partea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scrisă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cuprinde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8623D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Denumirea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8623D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investitor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8623D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secundar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terţiar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8623DF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Beneficiarul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8623DF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Elaboratorul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8623DF" w:rsidRDefault="008623DF" w:rsidP="008623DF">
            <w:p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precizeaza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asemenea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documentatiei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8623DF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Partea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scrisă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conține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elaboratorul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documentatiei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îşi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însuşeşte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asumă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datele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soluţiile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va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conţine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cel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puţin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următoarele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dată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numele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prenumele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clar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proiectanţilor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specialităţi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persoanei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responsabile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şef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semnăturile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acestora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ştampila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8623DF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8623DF" w:rsidRDefault="008623DF" w:rsidP="008623DF">
            <w:pPr>
              <w:spacing w:after="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  <w:lang w:val="en-US"/>
              </w:rPr>
            </w:pPr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investitii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contextului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politici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strategii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legislaţie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relevante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structuri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instituţionale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situaţiei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identificarea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necesităţilor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deficienţelor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Obiective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atinse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Particularităţi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amplasamentului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Caracteristici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parametri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concluziilor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expertizei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auditului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arhitecturalo-istoric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beneficiază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zonele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construite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sistemul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potrivit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legii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doveditor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forţei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majore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,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8623DF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clasa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8623DF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două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soluţii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8623DF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măsurile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expertul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auditorul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dezvoltate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8623DF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recomandarea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funcţionării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exigenţelor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calitate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8623DF" w:rsidRDefault="008623DF" w:rsidP="008623DF">
            <w:pPr>
              <w:spacing w:after="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lastRenderedPageBreak/>
              <w:t>normele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principalelor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?</w:t>
            </w:r>
          </w:p>
          <w:p w14:paraId="2C7ED13A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altor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categorii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incluse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soluţia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propusă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respectiv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hidroizolaţii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termoizolaţii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repararea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înlocuirea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instalaţiilor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echipamentelor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aferente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demontări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montări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debranşări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branşări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finisaje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îmbunătăţirea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terenului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fundare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funcţionalităţii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reabilitate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vulnerabilităţilor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cauzate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factori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antropici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naturali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schimbări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climatice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afecta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informaţii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posibile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interferenţe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monumente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arhitectură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amplasament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imediat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învecinată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existenţa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condiţionărilor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existenţei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caracteristicile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parametrii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urma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Necesarul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estimări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depăşirea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iniţiale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modul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asigurare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suplimentare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Durata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etapele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datele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graficul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orientativ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detaliat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etape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Costurile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Sustenabilitatea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financiară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economică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aferentă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(ă),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Comparaţia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scenariilor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opţiunilor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propus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punct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financiar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sustenabilităţii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riscurilor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Selectarea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justificarea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scenariului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opţiunii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optim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recomandat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Principalii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indicatori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tehnico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aferenţi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modului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asigură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conformarea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funcţiunii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tuturor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gradului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detaliere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propunerilor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Nominalizarea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surselor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finanţare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urmare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economice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proprii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bancare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alocaţii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garantate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contractate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externe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nerambursabile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alte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surse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constituite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Certificatul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emis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vederea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obţinerii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autorizaţiei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construire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topografic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vizat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Oficiul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Cadastru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Publicitate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Imobiliară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funciară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excepţia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cazurilor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speciale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expres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lege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utilităţilor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suplimentării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capacităţii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8623DF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condiţiona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posibilitatea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utilizării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sisteme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eficienţă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ridicată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creşterea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performanţei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energetice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trafic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circulaţie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raport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arheologic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funcţie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specificul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 xml:space="preserve">respecta modelul cadru prezentat în anexa 7 la HG 907/2016? </w:t>
            </w:r>
          </w:p>
          <w:p w14:paraId="47E27414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Există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scara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relevanta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raport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caracteristicile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investitii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toate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obiectele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investiți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toate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specialitățile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8623D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Există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8623D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8623D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8623D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8623D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8623D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Există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(ă)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8623D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8623D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8623D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8623D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8623D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8623DF" w:rsidRDefault="008623DF" w:rsidP="008623DF">
            <w:p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proiectantul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şeful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Documentele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anexate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cererea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finantare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demonstreaza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dreptul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solicitantului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partenerilor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executa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lucrarile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cuprinzatoare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interventiile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realizate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?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C03EC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C03EC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C03EC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8623DF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respectă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termenele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limită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programului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finanțare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demonstraza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luându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calcul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scenariile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recomandate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acestea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B675EA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B675EA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B675EA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B675EA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B675EA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8623D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demonstreaza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?</w:t>
            </w:r>
            <w:r w:rsidRPr="008623DF">
              <w:rPr>
                <w:rFonts w:ascii="Trebuchet MS" w:eastAsia="Cambria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mbria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C03EC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C03EC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C03EC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lastRenderedPageBreak/>
              <w:t>-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8623DF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8623DF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>
        <w:rPr>
          <w:rFonts w:ascii="Trebuchet MS" w:eastAsia="Calibri" w:hAnsi="Trebuchet MS" w:cs="Arial"/>
          <w:sz w:val="20"/>
          <w:szCs w:val="20"/>
          <w:lang w:val="ro-RO"/>
        </w:rPr>
        <w:t>pre-</w:t>
      </w: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8623DF" w:rsidRDefault="008623DF" w:rsidP="008623DF">
      <w:pPr>
        <w:spacing w:before="60" w:afterLines="60" w:after="144" w:line="276" w:lineRule="auto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8623DF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8623DF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8623DF" w:rsidRDefault="008623DF" w:rsidP="008623DF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BDDF3E5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CE2540E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1BFA250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FC28909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5102464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3750EF90" w14:textId="77777777" w:rsid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7B75B60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0392413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B29E190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0BF4A78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598D2C7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2DB1FCC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B5F8032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9C5C2A8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2C94BE6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F71781D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3F19EE44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0D68FAD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252CC0C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D6AA6EC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F929F46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6F51DB8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481D4CA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3CD2506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40121046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0073702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FD5F894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4EAE3017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4B3CCB6" w14:textId="77777777" w:rsidR="00D23D07" w:rsidRDefault="00D23D07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0C112D3" w14:textId="77777777" w:rsidR="00D23D07" w:rsidRDefault="00D23D07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8A1624A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8623DF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8623DF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Pr="008623DF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noi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(SF)</w:t>
      </w:r>
    </w:p>
    <w:p w14:paraId="781169BF" w14:textId="77777777" w:rsidR="008623DF" w:rsidRPr="002331DF" w:rsidRDefault="008623DF" w:rsidP="002331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435AEC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435AEC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8623DF" w14:paraId="5E86C475" w14:textId="77777777" w:rsidTr="00624AB2">
        <w:tc>
          <w:tcPr>
            <w:tcW w:w="2694" w:type="dxa"/>
            <w:shd w:val="clear" w:color="auto" w:fill="auto"/>
          </w:tcPr>
          <w:p w14:paraId="66FEB3B5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8623DF" w:rsidRDefault="00FE0C6D" w:rsidP="00624AB2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623DF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623DF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777777" w:rsidR="00FE0C6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623DF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623DF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8623DF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8623DF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8623DF" w:rsidRDefault="00FE0C6D" w:rsidP="008623DF">
      <w:pPr>
        <w:spacing w:before="120" w:after="12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8623DF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623DF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8623DF" w:rsidRDefault="008623DF" w:rsidP="008623DF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Partea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scrisă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cuprinde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prezentate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03A03FAB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Denumirea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obiectivului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investitii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35B72D02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Ordonator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credite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investitor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4F466DCF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Ordonator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credite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(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secundar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terţiar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)?</w:t>
            </w:r>
          </w:p>
          <w:p w14:paraId="5BEF6DFF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Beneficiarul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0B5BBAA3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Elaboratorul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studiului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fezabilitate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5913C160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precizeaza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asemenea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documentatiei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8623DF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Partea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scrisă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conține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elaboratorul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documentatiei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însuşeşte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asumă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datele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soluţiile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va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conţine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cel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puţin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următoarele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dată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numele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prenumele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clar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proiectanţilor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specialităţi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persoanei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responsabile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şef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semnăturile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acestora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ştampila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8623DF" w:rsidRDefault="008623DF" w:rsidP="008623DF">
            <w:pPr>
              <w:spacing w:before="60" w:after="60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continutul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cadru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poate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adaptat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functie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specificul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și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complexitatea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obiectivului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investitii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propus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prezentului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fost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elaborat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prefezabilitate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vor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prezenta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două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scenarii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opţiuni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dintre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cele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selectate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fezabile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faza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prefezabilitate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lastRenderedPageBreak/>
              <w:t xml:space="preserve">protecţia mediului </w:t>
            </w:r>
            <w:r w:rsidRPr="008623DF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331DF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2331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8623DF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8623D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8623D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prezentate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scara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relevanta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raport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caracteristicile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obiectivului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investitii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toate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obiectele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investiți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toate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specialitățile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planşele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mentionate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la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proiectantul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general /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şeful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Documentele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anexate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cererea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finantare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demonstreaza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dreptul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solicitantului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partenerilor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de a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executa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lucrarile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propuse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, sunt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cuprinzatoare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fata de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interventiile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propuse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realizate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prin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?</w:t>
            </w:r>
            <w:r w:rsidRPr="008623DF">
              <w:rPr>
                <w:rFonts w:ascii="Trebuchet MS" w:eastAsia="Cambria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mbria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331DF" w:rsidRDefault="008623DF" w:rsidP="002331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>este corelat cu cel prezentat în cadrul Cererii de Finanţare ?</w:t>
            </w:r>
          </w:p>
          <w:p w14:paraId="67D314DC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respectă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termenele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limită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programului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finanțare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0FEEB905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Documentele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anexate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cererea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finantare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demonstraza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dreptul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solicitantului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partenerilor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executa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lucrarile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sunt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cuprinzatoare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fata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interventiile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realizate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luându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calcul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scenariile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recomandate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acestea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8623DF" w:rsidRDefault="008623DF" w:rsidP="002331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>
        <w:rPr>
          <w:rFonts w:ascii="Trebuchet MS" w:eastAsia="Calibri" w:hAnsi="Trebuchet MS" w:cs="Arial"/>
          <w:sz w:val="20"/>
          <w:szCs w:val="20"/>
          <w:lang w:val="ro-RO"/>
        </w:rPr>
        <w:t>pre-</w:t>
      </w: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8623DF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lastRenderedPageBreak/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BDAEA58" w14:textId="7EB63CE5" w:rsidR="00A40140" w:rsidRDefault="00A40140" w:rsidP="008623DF">
      <w:pPr>
        <w:spacing w:before="60" w:afterLines="60" w:after="144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AFB1F53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8623DF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8623DF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Pr="008623DF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</w:p>
    <w:p w14:paraId="0BD72C84" w14:textId="77777777" w:rsidR="008623DF" w:rsidRDefault="008623DF" w:rsidP="008623DF">
      <w:pPr>
        <w:spacing w:before="120" w:after="12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435AEC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435AEC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8623DF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8623DF" w:rsidRDefault="002331DF" w:rsidP="00624AB2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623DF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623DF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77777777" w:rsidR="002331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623DF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623DF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8623DF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8623DF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8623DF" w:rsidRDefault="002331DF" w:rsidP="008623DF">
      <w:pPr>
        <w:spacing w:before="120" w:after="12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8623DF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623DF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8623DF" w:rsidRDefault="008623DF" w:rsidP="008623DF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Partea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scrisă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cuprinde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prezentate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69433213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Denumirea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obiectivului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investitii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51E4E655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Ordonator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credite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investitor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55652624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Ordonator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credite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(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secundar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terţiar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)?</w:t>
            </w:r>
          </w:p>
          <w:p w14:paraId="2475160F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Beneficiarul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investiţiei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3ADC1544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Elaboratorul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studiului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fezabilitate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2828A70C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precizeaza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asemenea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documentatiei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8623DF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Partea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scrisă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conține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elaboratorul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documentatiei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însuşeşte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asumă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datele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soluţiile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va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conţine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cel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puţin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următoarele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dată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lastRenderedPageBreak/>
              <w:t>numele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prenumele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clar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proiectanţilor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specialităţi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persoanei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responsabile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şef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semnăturile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acestora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ştampila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8623DF" w:rsidRDefault="008623DF" w:rsidP="008623DF">
            <w:pPr>
              <w:spacing w:before="60" w:after="60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? La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acestea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sunt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adaugate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elementele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specifice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din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continutul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cadru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DALI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prevazut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in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anexa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5.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continutul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cadru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DALI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poate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adaptat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functie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specificul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și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complexitatea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obiectivului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investitii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propus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prezentului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fost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elaborat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prefezabilitate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vor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prezenta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două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scenarii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opţiuni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dintre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cele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selectate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fezabile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faza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prefezabilitate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.</w:t>
            </w:r>
          </w:p>
          <w:p w14:paraId="610F33F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Informatii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referitoare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studiul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geotehnic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soluţia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consolidare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infrastructurii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conform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reglementărilor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vigoare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570B17B4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Destinaţia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5F994455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Precizarea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daca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existenta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este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inclusă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listele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monumentelor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siturilor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arheologice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ariilor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naturale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protejate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precum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zonele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acestora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zonele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construite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protejate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15DF58F5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Caracteristicile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parametriii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specifici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(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categoria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clasa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importanţă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cod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lista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monumentelor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, an/ani/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perioade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construire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fiecare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corp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;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suprafaţa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construită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suprafaţa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construită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desfăşurată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valoarea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inventar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*3)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alţi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parametri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funcţie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specificul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natura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)?</w:t>
            </w:r>
          </w:p>
          <w:p w14:paraId="34646DF2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stării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pe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baza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concluziilor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expertizei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tehnice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auditului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studiului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arhitecturalo-istoric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imobilelor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beneficiază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regimul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monument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istoric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imobilelor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aflate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zonele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monumentelor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zone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construite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protejate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0BDAA692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Starea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tehnică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sistemul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structural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analiza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punctul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vedere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asigurării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cerinţelor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fundamentale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aplicabile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potrivit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legii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5E34F7B8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Actul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doveditor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forţei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majore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31102F07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*4)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Descrierea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principalelor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lucrări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: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consolidarea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elementelor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subansamblurilor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ansamblului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structural,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protejarea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repararea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elementelor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nestructurale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restaurarea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elementelor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arhitecturale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componentelor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artistice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intervenţii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protejare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conservare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elementelor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naturale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antropice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valoroase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demolarea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parţială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unor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elemente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structurale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nestructurale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, cu/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fără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modificarea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configuraţiei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funcţiunii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introducerea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unor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elemente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structurale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nestructurale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suplimentare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introducerea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dispozitive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antiseismice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reducerea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răspunsului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seismic al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16F26DE4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Descrierea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altor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categorii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lucrări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incluse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soluţia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tehnică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intervenţie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propusă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respectiv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hidroizolaţii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termoizolaţii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repararea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înlocuirea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instalaţiilor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echipamentelor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aferente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demontări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montări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debranşări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branşări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finisaje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îmbunătăţirea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terenului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fundare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precum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lucrări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strict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necesare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asigurarea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funcţionalităţii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construcţiei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reabilitate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6D6E8FBA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</w:t>
            </w:r>
            <w:r w:rsidR="00E7333A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3) -</w:t>
            </w:r>
            <w:proofErr w:type="spellStart"/>
            <w:r w:rsidR="00E7333A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nu</w:t>
            </w:r>
            <w:proofErr w:type="spellEnd"/>
            <w:r w:rsidR="00E7333A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se </w:t>
            </w:r>
            <w:proofErr w:type="spellStart"/>
            <w:r w:rsidR="00E7333A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aplica</w:t>
            </w:r>
            <w:proofErr w:type="spellEnd"/>
            <w:r w:rsidR="00E7333A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="00E7333A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*4)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studiile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diagnosticare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pot fi: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identificare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alcătuirilor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constructive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utilizează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substanţe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nocive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specifice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monumente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istorice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monumente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situri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arheologice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analiza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compatibilităţii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conformării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spaţiale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clădirii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existente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normele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specifice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funcţiunii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măsurii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aceasta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răspunde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cerinţelor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calitate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peisagistic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sau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studii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stabilite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tema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proiectare</w:t>
            </w:r>
            <w:proofErr w:type="spellEnd"/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AE48ED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8623DF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E7333A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E7333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8623D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lastRenderedPageBreak/>
              <w:t>implementarea investitiei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8623D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prezentate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scara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relevanta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raport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caracteristicile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obiectivului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investitii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toate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obiectele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investiți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pentru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toate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specialitățile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planşele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mentionate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la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Există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planşele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relevante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referitoare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constructia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existentă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mentionate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la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8623DF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plan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amplasare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zonă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27B293C6" w14:textId="77777777" w:rsidR="008623DF" w:rsidRPr="008623DF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plan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situaţie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08DBD864" w14:textId="77777777" w:rsidR="008623DF" w:rsidRPr="008623DF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releveu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arhitectură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după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structura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instalaţii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-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planuri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secţiuni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faţade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cotate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  <w:p w14:paraId="75093669" w14:textId="77777777" w:rsidR="008623DF" w:rsidRPr="008623DF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planşe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specifice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analiză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sinteză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cazul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intervenţiilor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monumente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istorice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şi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zonele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protecţie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aferente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lastRenderedPageBreak/>
              <w:t>15</w:t>
            </w:r>
          </w:p>
        </w:tc>
        <w:tc>
          <w:tcPr>
            <w:tcW w:w="6804" w:type="dxa"/>
          </w:tcPr>
          <w:p w14:paraId="27F0D596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proiectantul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general /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şeful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667096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  <w:r w:rsidRPr="00667096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667096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667096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667096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667096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667096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</w:tcPr>
          <w:p w14:paraId="007A1DD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respectă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termenele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limită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programului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finanțare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02A8A96C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Documentele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anexate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la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cererea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finantare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care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demonstraza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dreptul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solicitantului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/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partenerilor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de a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executa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lucrarile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, sunt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cuprinzatoare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fata de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interventiile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propuse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a fi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realizate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proiect</w:t>
            </w:r>
            <w:proofErr w:type="spellEnd"/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luându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în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calcul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inclusiv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scenariile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recomandate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prin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  <w:proofErr w:type="spellStart"/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acestea</w:t>
            </w:r>
            <w:proofErr w:type="spellEnd"/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8623DF" w:rsidRDefault="008623DF" w:rsidP="008623DF">
      <w:pPr>
        <w:spacing w:after="0" w:line="240" w:lineRule="auto"/>
        <w:rPr>
          <w:rFonts w:ascii="Trebuchet MS" w:eastAsia="Calibri" w:hAnsi="Trebuchet MS" w:cs="Arial"/>
          <w:i/>
          <w:sz w:val="20"/>
          <w:szCs w:val="20"/>
          <w:lang w:val="ro-RO"/>
        </w:rPr>
      </w:pPr>
    </w:p>
    <w:p w14:paraId="68F5104D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>
        <w:rPr>
          <w:rFonts w:ascii="Trebuchet MS" w:eastAsia="Calibri" w:hAnsi="Trebuchet MS" w:cs="Arial"/>
          <w:sz w:val="20"/>
          <w:szCs w:val="20"/>
          <w:lang w:val="ro-RO"/>
        </w:rPr>
        <w:t>de precontractare</w:t>
      </w: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. </w:t>
      </w:r>
    </w:p>
    <w:p w14:paraId="5C124943" w14:textId="77777777" w:rsidR="00B90101" w:rsidRDefault="008623DF" w:rsidP="00B90101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Proiectul</w:t>
      </w:r>
      <w:r w:rsidR="00E7333A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Pr="008623DF">
        <w:rPr>
          <w:rFonts w:ascii="Trebuchet MS" w:eastAsia="Calibri" w:hAnsi="Trebuchet MS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B90101" w:rsidRDefault="008623DF" w:rsidP="00B90101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B90101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</w:t>
      </w:r>
      <w:r w:rsidR="00B90101"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="00B90101" w:rsidRPr="008623DF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="00B90101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:</w:t>
      </w:r>
      <w:r w:rsidRPr="008623DF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8623DF" w:rsidRDefault="008623DF" w:rsidP="00E5124F">
      <w:pPr>
        <w:spacing w:before="120" w:after="120" w:line="240" w:lineRule="auto"/>
        <w:ind w:firstLine="270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lastRenderedPageBreak/>
        <w:t>CONCLUZII: SF</w:t>
      </w:r>
      <w:r w:rsidR="00E5124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</w:t>
      </w:r>
      <w:r w:rsidR="00E5124F"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="00E5124F" w:rsidRPr="008623DF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="00E5124F"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E7333A" w:rsidRDefault="008623DF" w:rsidP="00E7333A">
      <w:pPr>
        <w:spacing w:before="60" w:afterLines="60" w:after="144" w:line="276" w:lineRule="auto"/>
        <w:ind w:left="270"/>
        <w:jc w:val="both"/>
        <w:rPr>
          <w:rFonts w:ascii="Calibri" w:eastAsia="Calibri" w:hAnsi="Calibri" w:cs="Times New Roman"/>
          <w:bCs/>
          <w:sz w:val="20"/>
          <w:szCs w:val="20"/>
          <w:lang w:val="en-US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E7333A" w:rsidSect="00624A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4CAB8" w14:textId="77777777" w:rsidR="00624AB2" w:rsidRDefault="00624AB2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624AB2" w:rsidRDefault="006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39F4" w14:textId="77777777" w:rsidR="00460DC0" w:rsidRDefault="00460D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1AB1" w14:textId="77777777" w:rsidR="00460DC0" w:rsidRDefault="00460D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F09B" w14:textId="77777777" w:rsidR="00460DC0" w:rsidRDefault="00460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B2E0C" w14:textId="77777777" w:rsidR="00624AB2" w:rsidRDefault="00624AB2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624AB2" w:rsidRDefault="0062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EAFC" w14:textId="77777777" w:rsidR="00460DC0" w:rsidRDefault="00460D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7CC9E88B" w14:textId="77777777" w:rsidR="00460DC0" w:rsidRPr="003E469F" w:rsidRDefault="00460DC0" w:rsidP="00460DC0">
          <w:pPr>
            <w:pStyle w:val="Header"/>
            <w:rPr>
              <w:sz w:val="18"/>
              <w:highlight w:val="cyan"/>
            </w:rPr>
          </w:pPr>
          <w:proofErr w:type="spellStart"/>
          <w:r w:rsidRPr="003E469F">
            <w:rPr>
              <w:sz w:val="18"/>
              <w:highlight w:val="cyan"/>
            </w:rPr>
            <w:t>Programul</w:t>
          </w:r>
          <w:proofErr w:type="spellEnd"/>
          <w:r w:rsidRPr="003E469F">
            <w:rPr>
              <w:sz w:val="18"/>
              <w:highlight w:val="cyan"/>
            </w:rPr>
            <w:t xml:space="preserve"> Regional Sud-Vest 2021-2027</w:t>
          </w:r>
        </w:p>
        <w:p w14:paraId="68EB1D72" w14:textId="77777777" w:rsidR="00460DC0" w:rsidRPr="00C22A1F" w:rsidRDefault="00460DC0" w:rsidP="00460DC0">
          <w:pPr>
            <w:pStyle w:val="Header"/>
            <w:rPr>
              <w:sz w:val="18"/>
            </w:rPr>
          </w:pPr>
          <w:r w:rsidRPr="00C22A1F">
            <w:rPr>
              <w:sz w:val="18"/>
            </w:rPr>
            <w:t>PRIORITATEA 7: DEZVOLTARE TERITORIALĂ SUSTENABILĂ</w:t>
          </w:r>
        </w:p>
        <w:p w14:paraId="1ED58F7C" w14:textId="77777777" w:rsidR="00460DC0" w:rsidRPr="003E469F" w:rsidRDefault="00460DC0" w:rsidP="00460DC0">
          <w:pPr>
            <w:pStyle w:val="Header"/>
            <w:rPr>
              <w:sz w:val="18"/>
            </w:rPr>
          </w:pPr>
          <w:r w:rsidRPr="00C22A1F">
            <w:rPr>
              <w:sz w:val="18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  <w:p w14:paraId="5A9B2FBB" w14:textId="34355350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7E4BAB22" w:rsidR="00624AB2" w:rsidRPr="00B478C0" w:rsidRDefault="00624AB2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B478C0">
      <w:rPr>
        <w:rFonts w:ascii="Trebuchet MS" w:eastAsia="Times New Roman" w:hAnsi="Trebuchet MS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="00460DC0" w:rsidRPr="00460DC0">
      <w:rPr>
        <w:rFonts w:ascii="Trebuchet MS" w:eastAsia="Times New Roman" w:hAnsi="Trebuchet MS" w:cs="Calibri"/>
        <w:b/>
        <w:spacing w:val="-2"/>
        <w:sz w:val="16"/>
        <w:szCs w:val="16"/>
        <w:lang w:val="ro-RO" w:eastAsia="ro-RO"/>
      </w:rPr>
      <w:t>PR SV/ORAȘE/1/7/5.1/2023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– Anexa 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EE97" w14:textId="77777777" w:rsidR="00460DC0" w:rsidRDefault="00460D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825918">
    <w:abstractNumId w:val="23"/>
  </w:num>
  <w:num w:numId="2" w16cid:durableId="1803696686">
    <w:abstractNumId w:val="10"/>
  </w:num>
  <w:num w:numId="3" w16cid:durableId="1726565145">
    <w:abstractNumId w:val="24"/>
  </w:num>
  <w:num w:numId="4" w16cid:durableId="348528331">
    <w:abstractNumId w:val="11"/>
  </w:num>
  <w:num w:numId="5" w16cid:durableId="191919339">
    <w:abstractNumId w:val="5"/>
  </w:num>
  <w:num w:numId="6" w16cid:durableId="674654472">
    <w:abstractNumId w:val="18"/>
  </w:num>
  <w:num w:numId="7" w16cid:durableId="2001956460">
    <w:abstractNumId w:val="14"/>
  </w:num>
  <w:num w:numId="8" w16cid:durableId="1721783513">
    <w:abstractNumId w:val="1"/>
  </w:num>
  <w:num w:numId="9" w16cid:durableId="1911841351">
    <w:abstractNumId w:val="36"/>
  </w:num>
  <w:num w:numId="10" w16cid:durableId="2053265933">
    <w:abstractNumId w:val="32"/>
  </w:num>
  <w:num w:numId="11" w16cid:durableId="228199990">
    <w:abstractNumId w:val="0"/>
  </w:num>
  <w:num w:numId="12" w16cid:durableId="939723817">
    <w:abstractNumId w:val="12"/>
  </w:num>
  <w:num w:numId="13" w16cid:durableId="20084839">
    <w:abstractNumId w:val="34"/>
  </w:num>
  <w:num w:numId="14" w16cid:durableId="1364794439">
    <w:abstractNumId w:val="19"/>
  </w:num>
  <w:num w:numId="15" w16cid:durableId="1589460455">
    <w:abstractNumId w:val="33"/>
  </w:num>
  <w:num w:numId="16" w16cid:durableId="1793327222">
    <w:abstractNumId w:val="17"/>
  </w:num>
  <w:num w:numId="17" w16cid:durableId="1042897675">
    <w:abstractNumId w:val="2"/>
  </w:num>
  <w:num w:numId="18" w16cid:durableId="394624197">
    <w:abstractNumId w:val="15"/>
  </w:num>
  <w:num w:numId="19" w16cid:durableId="392701021">
    <w:abstractNumId w:val="27"/>
  </w:num>
  <w:num w:numId="20" w16cid:durableId="341130388">
    <w:abstractNumId w:val="3"/>
  </w:num>
  <w:num w:numId="21" w16cid:durableId="1436629872">
    <w:abstractNumId w:val="21"/>
  </w:num>
  <w:num w:numId="22" w16cid:durableId="1886211395">
    <w:abstractNumId w:val="4"/>
  </w:num>
  <w:num w:numId="23" w16cid:durableId="1985162301">
    <w:abstractNumId w:val="9"/>
  </w:num>
  <w:num w:numId="24" w16cid:durableId="1247962843">
    <w:abstractNumId w:val="16"/>
  </w:num>
  <w:num w:numId="25" w16cid:durableId="27029812">
    <w:abstractNumId w:val="7"/>
  </w:num>
  <w:num w:numId="26" w16cid:durableId="1789086265">
    <w:abstractNumId w:val="30"/>
  </w:num>
  <w:num w:numId="27" w16cid:durableId="554852357">
    <w:abstractNumId w:val="31"/>
  </w:num>
  <w:num w:numId="28" w16cid:durableId="863517786">
    <w:abstractNumId w:val="25"/>
  </w:num>
  <w:num w:numId="29" w16cid:durableId="1882936975">
    <w:abstractNumId w:val="26"/>
  </w:num>
  <w:num w:numId="30" w16cid:durableId="1823159619">
    <w:abstractNumId w:val="8"/>
  </w:num>
  <w:num w:numId="31" w16cid:durableId="1758863048">
    <w:abstractNumId w:val="29"/>
  </w:num>
  <w:num w:numId="32" w16cid:durableId="1665205089">
    <w:abstractNumId w:val="13"/>
  </w:num>
  <w:num w:numId="33" w16cid:durableId="1589194270">
    <w:abstractNumId w:val="22"/>
  </w:num>
  <w:num w:numId="34" w16cid:durableId="1657149790">
    <w:abstractNumId w:val="35"/>
  </w:num>
  <w:num w:numId="35" w16cid:durableId="1291404480">
    <w:abstractNumId w:val="20"/>
  </w:num>
  <w:num w:numId="36" w16cid:durableId="230432735">
    <w:abstractNumId w:val="28"/>
  </w:num>
  <w:num w:numId="37" w16cid:durableId="663700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435AEC"/>
    <w:rsid w:val="00460DC0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B675EA"/>
    <w:rsid w:val="00B90101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21</Pages>
  <Words>7354</Words>
  <Characters>41924</Characters>
  <Application>Microsoft Office Word</Application>
  <DocSecurity>0</DocSecurity>
  <Lines>349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Cosmin BALA</cp:lastModifiedBy>
  <cp:revision>35</cp:revision>
  <dcterms:created xsi:type="dcterms:W3CDTF">2022-10-02T06:01:00Z</dcterms:created>
  <dcterms:modified xsi:type="dcterms:W3CDTF">2023-03-06T07:40:00Z</dcterms:modified>
</cp:coreProperties>
</file>